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49" w:rsidRDefault="00A33F49" w:rsidP="00A33F49">
      <w:pPr>
        <w:spacing w:line="560" w:lineRule="exact"/>
        <w:jc w:val="center"/>
        <w:rPr>
          <w:rFonts w:ascii="方正小标宋简体" w:eastAsia="方正小标宋简体" w:hint="eastAsia"/>
          <w:sz w:val="44"/>
          <w:szCs w:val="44"/>
        </w:rPr>
      </w:pPr>
      <w:r w:rsidRPr="00A33F49">
        <w:rPr>
          <w:rFonts w:ascii="方正小标宋简体" w:eastAsia="方正小标宋简体" w:hint="eastAsia"/>
          <w:sz w:val="44"/>
          <w:szCs w:val="44"/>
        </w:rPr>
        <w:t>拖欠农民工工资失信</w:t>
      </w:r>
    </w:p>
    <w:p w:rsidR="00A33F49" w:rsidRPr="00A33F49" w:rsidRDefault="00A33F49" w:rsidP="00A33F49">
      <w:pPr>
        <w:spacing w:line="560" w:lineRule="exact"/>
        <w:jc w:val="center"/>
        <w:rPr>
          <w:rFonts w:ascii="方正小标宋简体" w:eastAsia="方正小标宋简体" w:hint="eastAsia"/>
          <w:sz w:val="44"/>
          <w:szCs w:val="44"/>
        </w:rPr>
      </w:pPr>
      <w:r w:rsidRPr="00A33F49">
        <w:rPr>
          <w:rFonts w:ascii="方正小标宋简体" w:eastAsia="方正小标宋简体" w:hint="eastAsia"/>
          <w:sz w:val="44"/>
          <w:szCs w:val="44"/>
        </w:rPr>
        <w:t>联合惩戒对象名单管理暂行办法</w:t>
      </w:r>
    </w:p>
    <w:p w:rsidR="00A33F49" w:rsidRPr="00A33F49" w:rsidRDefault="00A33F49" w:rsidP="00A33F49">
      <w:pPr>
        <w:spacing w:line="560" w:lineRule="exact"/>
        <w:jc w:val="center"/>
        <w:rPr>
          <w:rFonts w:hint="eastAsia"/>
          <w:szCs w:val="32"/>
        </w:rPr>
      </w:pPr>
      <w:r w:rsidRPr="00A33F49">
        <w:rPr>
          <w:rFonts w:hint="eastAsia"/>
          <w:szCs w:val="32"/>
        </w:rPr>
        <w:t>（人社部令第</w:t>
      </w:r>
      <w:r w:rsidRPr="00A33F49">
        <w:rPr>
          <w:rFonts w:hint="eastAsia"/>
          <w:szCs w:val="32"/>
        </w:rPr>
        <w:t>45</w:t>
      </w:r>
      <w:r w:rsidRPr="00A33F49">
        <w:rPr>
          <w:rFonts w:hint="eastAsia"/>
          <w:szCs w:val="32"/>
        </w:rPr>
        <w:t>号</w:t>
      </w:r>
      <w:r>
        <w:rPr>
          <w:rFonts w:hint="eastAsia"/>
          <w:szCs w:val="32"/>
        </w:rPr>
        <w:t>，</w:t>
      </w:r>
      <w:r w:rsidRPr="00A33F49">
        <w:rPr>
          <w:rFonts w:hint="eastAsia"/>
          <w:szCs w:val="32"/>
        </w:rPr>
        <w:t>2021</w:t>
      </w:r>
      <w:r w:rsidRPr="00A33F49">
        <w:rPr>
          <w:rFonts w:hint="eastAsia"/>
          <w:szCs w:val="32"/>
        </w:rPr>
        <w:t>年</w:t>
      </w:r>
      <w:r w:rsidRPr="00A33F49">
        <w:rPr>
          <w:rFonts w:hint="eastAsia"/>
          <w:szCs w:val="32"/>
        </w:rPr>
        <w:t>11</w:t>
      </w:r>
      <w:r w:rsidRPr="00A33F49">
        <w:rPr>
          <w:rFonts w:hint="eastAsia"/>
          <w:szCs w:val="32"/>
        </w:rPr>
        <w:t>月</w:t>
      </w:r>
      <w:r w:rsidRPr="00A33F49">
        <w:rPr>
          <w:rFonts w:hint="eastAsia"/>
          <w:szCs w:val="32"/>
        </w:rPr>
        <w:t>10</w:t>
      </w:r>
      <w:r w:rsidRPr="00A33F49">
        <w:rPr>
          <w:rFonts w:hint="eastAsia"/>
          <w:szCs w:val="32"/>
        </w:rPr>
        <w:t>日公布</w:t>
      </w:r>
      <w:r>
        <w:rPr>
          <w:rFonts w:hint="eastAsia"/>
          <w:szCs w:val="32"/>
        </w:rPr>
        <w:t>，</w:t>
      </w:r>
      <w:r w:rsidRPr="00A33F49">
        <w:rPr>
          <w:rFonts w:hint="eastAsia"/>
          <w:szCs w:val="32"/>
        </w:rPr>
        <w:t>自</w:t>
      </w:r>
      <w:r w:rsidRPr="00A33F49">
        <w:rPr>
          <w:rFonts w:hint="eastAsia"/>
          <w:szCs w:val="32"/>
        </w:rPr>
        <w:t>2022</w:t>
      </w:r>
      <w:r w:rsidRPr="00A33F49">
        <w:rPr>
          <w:rFonts w:hint="eastAsia"/>
          <w:szCs w:val="32"/>
        </w:rPr>
        <w:t>年</w:t>
      </w:r>
      <w:r w:rsidRPr="00A33F49">
        <w:rPr>
          <w:rFonts w:hint="eastAsia"/>
          <w:szCs w:val="32"/>
        </w:rPr>
        <w:t>1</w:t>
      </w:r>
      <w:r w:rsidRPr="00A33F49">
        <w:rPr>
          <w:rFonts w:hint="eastAsia"/>
          <w:szCs w:val="32"/>
        </w:rPr>
        <w:t>月</w:t>
      </w:r>
      <w:r w:rsidRPr="00A33F49">
        <w:rPr>
          <w:rFonts w:hint="eastAsia"/>
          <w:szCs w:val="32"/>
        </w:rPr>
        <w:t>1</w:t>
      </w:r>
      <w:r w:rsidRPr="00A33F49">
        <w:rPr>
          <w:rFonts w:hint="eastAsia"/>
          <w:szCs w:val="32"/>
        </w:rPr>
        <w:t>日起施行）</w:t>
      </w:r>
    </w:p>
    <w:p w:rsidR="00A33F49" w:rsidRPr="00A33F49" w:rsidRDefault="00A33F49" w:rsidP="00A33F49">
      <w:pPr>
        <w:spacing w:line="460" w:lineRule="exact"/>
        <w:rPr>
          <w:szCs w:val="32"/>
        </w:rPr>
      </w:pP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第一条</w:t>
      </w:r>
      <w:r>
        <w:rPr>
          <w:rFonts w:hint="eastAsia"/>
          <w:szCs w:val="32"/>
        </w:rPr>
        <w:t xml:space="preserve">  </w:t>
      </w:r>
      <w:r w:rsidRPr="00A33F49">
        <w:rPr>
          <w:rFonts w:hint="eastAsia"/>
          <w:szCs w:val="32"/>
        </w:rPr>
        <w:t>为了维护劳动者合法权益，完善失信约束机制，加强信用监管，规范拖欠农民工工资失信联合惩戒对象名单（以下简称失信联合惩戒名单）管理工作，根据《保障农民工工资支付条例》等有关规定，制定本办法。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第二条</w:t>
      </w:r>
      <w:r>
        <w:rPr>
          <w:rFonts w:hint="eastAsia"/>
          <w:szCs w:val="32"/>
        </w:rPr>
        <w:t xml:space="preserve">  </w:t>
      </w:r>
      <w:r w:rsidRPr="00A33F49">
        <w:rPr>
          <w:rFonts w:hint="eastAsia"/>
          <w:szCs w:val="32"/>
        </w:rPr>
        <w:t>人力资源社会保障行政部门实施列入失信联合惩戒名单、公开信息、信用修复等管理活动，适用本办法。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第三条</w:t>
      </w:r>
      <w:r>
        <w:rPr>
          <w:rFonts w:hint="eastAsia"/>
          <w:szCs w:val="32"/>
        </w:rPr>
        <w:t xml:space="preserve">  </w:t>
      </w:r>
      <w:r w:rsidRPr="00A33F49">
        <w:rPr>
          <w:rFonts w:hint="eastAsia"/>
          <w:szCs w:val="32"/>
        </w:rPr>
        <w:t>人力资源社会保障部负责组织、指导全国失信联合惩戒名单管理工作。</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县级以上地方人力资源社会保障行政部门依据行政执法管辖权限，负责失信联合惩戒名单管理的具体实施工作。</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第四条</w:t>
      </w:r>
      <w:r>
        <w:rPr>
          <w:rFonts w:hint="eastAsia"/>
          <w:szCs w:val="32"/>
        </w:rPr>
        <w:t xml:space="preserve">  </w:t>
      </w:r>
      <w:r w:rsidRPr="00A33F49">
        <w:rPr>
          <w:rFonts w:hint="eastAsia"/>
          <w:szCs w:val="32"/>
        </w:rPr>
        <w:t>失信联合惩戒名单管理实行“谁执法、谁认定、谁负责”，遵循依法依规、客观公正、公开透明、动态管理的原则。</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实施失信联合惩戒名单管理，应当依法依规加强信用信息安全和个人信息保护。人力资源社会保障行政部门及其工作人员对实施失信联合惩戒名单管理过程中知悉的国家秘密、商业秘密、个人隐私，应当依法依规予以保密。</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第五条</w:t>
      </w:r>
      <w:r>
        <w:rPr>
          <w:rFonts w:hint="eastAsia"/>
          <w:szCs w:val="32"/>
        </w:rPr>
        <w:t xml:space="preserve">  </w:t>
      </w:r>
      <w:r w:rsidRPr="00A33F49">
        <w:rPr>
          <w:rFonts w:hint="eastAsia"/>
          <w:szCs w:val="32"/>
        </w:rPr>
        <w:t>用人单位拖欠农民工工资，具有下列情形之一，经人力资源社会保障行政部门依法责令限期支付工资，逾期未支付的，人力资源社会保障行政部门应当作出列入决定，将该用人单位及其法定代表人或者主要负责人、直接负责的主管人员和其他直接责任人员（以下简称当事人）列入失信联合惩戒名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（一）克扣、无故拖欠农民工工资达到认定拒不支付劳动报</w:t>
      </w:r>
      <w:r w:rsidRPr="00A33F49">
        <w:rPr>
          <w:rFonts w:hint="eastAsia"/>
          <w:szCs w:val="32"/>
        </w:rPr>
        <w:lastRenderedPageBreak/>
        <w:t>酬罪数额标准的；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（二）因拖欠农民工工资违法行为引发群体性事件、极端事件造成严重不良社会影响的。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第六条</w:t>
      </w:r>
      <w:r>
        <w:rPr>
          <w:rFonts w:hint="eastAsia"/>
          <w:szCs w:val="32"/>
        </w:rPr>
        <w:t xml:space="preserve">  </w:t>
      </w:r>
      <w:r w:rsidRPr="00A33F49">
        <w:rPr>
          <w:rFonts w:hint="eastAsia"/>
          <w:szCs w:val="32"/>
        </w:rPr>
        <w:t>人力资源社会保障行政部门在作出列入决定前，应当告知当事人拟列入失信联合惩戒名单的事由、依据、提出异议等依法享有的权利和本办法第七条可以不予列入失信联合惩戒名单的规定。</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当事人自收到告知之日起</w:t>
      </w:r>
      <w:r w:rsidRPr="00A33F49">
        <w:rPr>
          <w:rFonts w:hint="eastAsia"/>
          <w:szCs w:val="32"/>
        </w:rPr>
        <w:t>5</w:t>
      </w:r>
      <w:r w:rsidRPr="00A33F49">
        <w:rPr>
          <w:rFonts w:hint="eastAsia"/>
          <w:szCs w:val="32"/>
        </w:rPr>
        <w:t>个工作日内，可以向人力资源社会保障行政部门提出异议。对异议期内提出的异议，人力资源社会保障行政部门应当自收到异议之日起</w:t>
      </w:r>
      <w:r w:rsidRPr="00A33F49">
        <w:rPr>
          <w:rFonts w:hint="eastAsia"/>
          <w:szCs w:val="32"/>
        </w:rPr>
        <w:t>5</w:t>
      </w:r>
      <w:r w:rsidRPr="00A33F49">
        <w:rPr>
          <w:rFonts w:hint="eastAsia"/>
          <w:szCs w:val="32"/>
        </w:rPr>
        <w:t>个工作日内予以核实，并将结果告知当事人。</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第七条</w:t>
      </w:r>
      <w:r>
        <w:rPr>
          <w:rFonts w:hint="eastAsia"/>
          <w:szCs w:val="32"/>
        </w:rPr>
        <w:t xml:space="preserve">  </w:t>
      </w:r>
      <w:r w:rsidRPr="00A33F49">
        <w:rPr>
          <w:rFonts w:hint="eastAsia"/>
          <w:szCs w:val="32"/>
        </w:rPr>
        <w:t>用人单位在人力资源社会保障行政部门作出列入决定前，已经改正拖欠农民工工资违法行为，且作出不再拖欠农民工工资书面信用承诺的，可以不予列入失信联合惩戒名单。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第八条</w:t>
      </w:r>
      <w:r>
        <w:rPr>
          <w:rFonts w:hint="eastAsia"/>
          <w:szCs w:val="32"/>
        </w:rPr>
        <w:t xml:space="preserve">  </w:t>
      </w:r>
      <w:r w:rsidRPr="00A33F49">
        <w:rPr>
          <w:rFonts w:hint="eastAsia"/>
          <w:szCs w:val="32"/>
        </w:rPr>
        <w:t>人力资源社会保障行政部门应当自责令限期支付工资文书指定期限届满之日起</w:t>
      </w:r>
      <w:r w:rsidRPr="00A33F49">
        <w:rPr>
          <w:rFonts w:hint="eastAsia"/>
          <w:szCs w:val="32"/>
        </w:rPr>
        <w:t>20</w:t>
      </w:r>
      <w:r w:rsidRPr="00A33F49">
        <w:rPr>
          <w:rFonts w:hint="eastAsia"/>
          <w:szCs w:val="32"/>
        </w:rPr>
        <w:t>个工作日内作出列入决定。情况复杂的，经人力资源社会保障行政部门负责人批准，可以延长</w:t>
      </w:r>
      <w:r w:rsidRPr="00A33F49">
        <w:rPr>
          <w:rFonts w:hint="eastAsia"/>
          <w:szCs w:val="32"/>
        </w:rPr>
        <w:t>20</w:t>
      </w:r>
      <w:r w:rsidRPr="00A33F49">
        <w:rPr>
          <w:rFonts w:hint="eastAsia"/>
          <w:szCs w:val="32"/>
        </w:rPr>
        <w:t>个工作日。</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人力资源社会保障行政部门作出列入决定，应当制作列入决定书。列入决定书应当载明列入事由、列入依据、联合惩戒措施提示、提前移出条件和程序、救济措施等，并按照有关规定交付或者送达当事人。</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第九条</w:t>
      </w:r>
      <w:r>
        <w:rPr>
          <w:rFonts w:hint="eastAsia"/>
          <w:szCs w:val="32"/>
        </w:rPr>
        <w:t xml:space="preserve">  </w:t>
      </w:r>
      <w:r w:rsidRPr="00A33F49">
        <w:rPr>
          <w:rFonts w:hint="eastAsia"/>
          <w:szCs w:val="32"/>
        </w:rPr>
        <w:t>作出列入决定的人力资源社会保障行政部门应当按照政府信息公开等有关规定，通过本部门门户网站和其他指定的网站公开失信联合惩戒名单。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第十条</w:t>
      </w:r>
      <w:r>
        <w:rPr>
          <w:rFonts w:hint="eastAsia"/>
          <w:szCs w:val="32"/>
        </w:rPr>
        <w:t xml:space="preserve">  </w:t>
      </w:r>
      <w:r w:rsidRPr="00A33F49">
        <w:rPr>
          <w:rFonts w:hint="eastAsia"/>
          <w:szCs w:val="32"/>
        </w:rPr>
        <w:t>作出列入决定的人力资源社会保障行政部门应当按照有关规定，将失信联合惩戒名单信息共享至同级信用信息共享平台，供相关部门作为在各自职责范围内按照《保障农民工工资</w:t>
      </w:r>
      <w:r w:rsidRPr="00A33F49">
        <w:rPr>
          <w:rFonts w:hint="eastAsia"/>
          <w:szCs w:val="32"/>
        </w:rPr>
        <w:lastRenderedPageBreak/>
        <w:t>支付条例》等有关规定，对被列入失信联合惩戒名单的当事人实施联合惩戒的依据。</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对被列入失信联合惩戒名单的当事人，由相关部门在政府资金支持、政府采购、招投标、融资贷款、市场准入、税收优惠、评优评先、交通出行等方面依法依规予以限制。</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第十一条</w:t>
      </w:r>
      <w:r>
        <w:rPr>
          <w:rFonts w:hint="eastAsia"/>
          <w:szCs w:val="32"/>
        </w:rPr>
        <w:t xml:space="preserve">  </w:t>
      </w:r>
      <w:r w:rsidRPr="00A33F49">
        <w:rPr>
          <w:rFonts w:hint="eastAsia"/>
          <w:szCs w:val="32"/>
        </w:rPr>
        <w:t>当事人被列入失信联合惩戒名单的期限为</w:t>
      </w:r>
      <w:r w:rsidRPr="00A33F49">
        <w:rPr>
          <w:rFonts w:hint="eastAsia"/>
          <w:szCs w:val="32"/>
        </w:rPr>
        <w:t>3</w:t>
      </w:r>
      <w:r w:rsidRPr="00A33F49">
        <w:rPr>
          <w:rFonts w:hint="eastAsia"/>
          <w:szCs w:val="32"/>
        </w:rPr>
        <w:t>年，自人力资源社会保障行政部门作出列入决定之日起计算。</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第十二条</w:t>
      </w:r>
      <w:r>
        <w:rPr>
          <w:rFonts w:hint="eastAsia"/>
          <w:szCs w:val="32"/>
        </w:rPr>
        <w:t xml:space="preserve">  </w:t>
      </w:r>
      <w:r w:rsidRPr="00A33F49">
        <w:rPr>
          <w:rFonts w:hint="eastAsia"/>
          <w:szCs w:val="32"/>
        </w:rPr>
        <w:t>用人单位同时符合下列条件的，可以向作出列入决定的人力资源社会保障行政部门申请提前移出失信联合惩戒名单：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（一）已经改正拖欠农民工工资违法行为的；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（二）自改正之日起被列入失信联合惩戒名单满</w:t>
      </w:r>
      <w:r w:rsidRPr="00A33F49">
        <w:rPr>
          <w:rFonts w:hint="eastAsia"/>
          <w:szCs w:val="32"/>
        </w:rPr>
        <w:t>6</w:t>
      </w:r>
      <w:r w:rsidRPr="00A33F49">
        <w:rPr>
          <w:rFonts w:hint="eastAsia"/>
          <w:szCs w:val="32"/>
        </w:rPr>
        <w:t>个月的；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（三）作出不再拖欠农民工工资书面信用承诺的。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第十三条</w:t>
      </w:r>
      <w:r>
        <w:rPr>
          <w:rFonts w:hint="eastAsia"/>
          <w:szCs w:val="32"/>
        </w:rPr>
        <w:t xml:space="preserve">  </w:t>
      </w:r>
      <w:r w:rsidRPr="00A33F49">
        <w:rPr>
          <w:rFonts w:hint="eastAsia"/>
          <w:szCs w:val="32"/>
        </w:rPr>
        <w:t>用人单位符合本办法第十二条规定条件，但是具有下列情形之一的，不得提前移出失信联合惩戒名单：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（一）列入失信联合惩戒名单期限内再次发生拖欠农民工工资违法行为的；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（二）因涉嫌拒不支付劳动报酬犯罪正在刑事诉讼期间或者已经被追究刑事责任的；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（三）法律、法规和党中央、国务院政策文件规定的其他情形。</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第十四条</w:t>
      </w:r>
      <w:r>
        <w:rPr>
          <w:rFonts w:hint="eastAsia"/>
          <w:szCs w:val="32"/>
        </w:rPr>
        <w:t xml:space="preserve">  </w:t>
      </w:r>
      <w:r w:rsidRPr="00A33F49">
        <w:rPr>
          <w:rFonts w:hint="eastAsia"/>
          <w:szCs w:val="32"/>
        </w:rPr>
        <w:t>用人单位申请提前移出失信联合惩戒名单，应当提交书面申请、已经改正拖欠农民工工资违法行为的证据和不再拖欠农民工工资书面信用承诺。</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人力资源社会保障行政部门应当自收到用人单位提前移出失信联合惩戒名单申请之日起</w:t>
      </w:r>
      <w:r w:rsidRPr="00A33F49">
        <w:rPr>
          <w:rFonts w:hint="eastAsia"/>
          <w:szCs w:val="32"/>
        </w:rPr>
        <w:t>15</w:t>
      </w:r>
      <w:r w:rsidRPr="00A33F49">
        <w:rPr>
          <w:rFonts w:hint="eastAsia"/>
          <w:szCs w:val="32"/>
        </w:rPr>
        <w:t>个工作日内予以核实，决定是否准予提前移出，制作决定书并按照有关规定交付或者送达用人单位。不予提前移出的，应当说明理由。</w:t>
      </w:r>
    </w:p>
    <w:p w:rsidR="00A33F49" w:rsidRPr="00A33F49" w:rsidRDefault="00A33F49" w:rsidP="00A33F49">
      <w:pPr>
        <w:spacing w:line="460" w:lineRule="exact"/>
        <w:rPr>
          <w:rFonts w:hint="eastAsia"/>
          <w:szCs w:val="32"/>
        </w:rPr>
      </w:pPr>
      <w:r>
        <w:rPr>
          <w:rFonts w:hint="eastAsia"/>
          <w:szCs w:val="32"/>
        </w:rPr>
        <w:lastRenderedPageBreak/>
        <w:t xml:space="preserve">    </w:t>
      </w:r>
      <w:r w:rsidRPr="00A33F49">
        <w:rPr>
          <w:rFonts w:hint="eastAsia"/>
          <w:szCs w:val="32"/>
        </w:rPr>
        <w:t>人力资源社会保障行政部门准予用人单位提前移出失信联合惩戒名单的，应当将该用人单位的其他当事人一并提前移出失信联合惩戒名单。</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第十五条</w:t>
      </w:r>
      <w:r>
        <w:rPr>
          <w:rFonts w:hint="eastAsia"/>
          <w:szCs w:val="32"/>
        </w:rPr>
        <w:t xml:space="preserve">  </w:t>
      </w:r>
      <w:r w:rsidRPr="00A33F49">
        <w:rPr>
          <w:rFonts w:hint="eastAsia"/>
          <w:szCs w:val="32"/>
        </w:rPr>
        <w:t>申请提前移出的用人单位故意隐瞒真实情况、提供虚假资料，情节严重的，由作出提前移出决定的人力资源社会保障行政部门撤销提前移出决定，恢复列入状态。列入的起止时间重新计算。</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第十六条</w:t>
      </w:r>
      <w:r>
        <w:rPr>
          <w:rFonts w:hint="eastAsia"/>
          <w:szCs w:val="32"/>
        </w:rPr>
        <w:t xml:space="preserve">  </w:t>
      </w:r>
      <w:r w:rsidRPr="00A33F49">
        <w:rPr>
          <w:rFonts w:hint="eastAsia"/>
          <w:szCs w:val="32"/>
        </w:rPr>
        <w:t>列入决定所依据的责令限期支付工资文书被依法撤销的，作出列入决定的人力资源社会保障行政部门应当撤销列入决定。</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第十七条</w:t>
      </w:r>
      <w:r>
        <w:rPr>
          <w:rFonts w:hint="eastAsia"/>
          <w:szCs w:val="32"/>
        </w:rPr>
        <w:t xml:space="preserve">  </w:t>
      </w:r>
      <w:r w:rsidRPr="00A33F49">
        <w:rPr>
          <w:rFonts w:hint="eastAsia"/>
          <w:szCs w:val="32"/>
        </w:rPr>
        <w:t>有下列情形之一的，作出列入决定的人力资源社会保障行政部门应当于</w:t>
      </w:r>
      <w:r w:rsidRPr="00A33F49">
        <w:rPr>
          <w:rFonts w:hint="eastAsia"/>
          <w:szCs w:val="32"/>
        </w:rPr>
        <w:t>10</w:t>
      </w:r>
      <w:r w:rsidRPr="00A33F49">
        <w:rPr>
          <w:rFonts w:hint="eastAsia"/>
          <w:szCs w:val="32"/>
        </w:rPr>
        <w:t>个工作日内将当事人移出失信联合惩戒名单，在本部门门户网站停止公开相关信息，并告知第九条规定的有关网站</w:t>
      </w:r>
      <w:r w:rsidRPr="00A33F49">
        <w:rPr>
          <w:rFonts w:hint="eastAsia"/>
          <w:szCs w:val="32"/>
        </w:rPr>
        <w:t>:</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（一）当事人被列入失信联合惩戒名单期限届满的；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（二）人力资源社会保障行政部门决定提前移出失信联合惩戒名单的；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（三）列入决定被依法撤销的。</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当事人被移出失信联合惩戒名单的，人力资源社会保障行政部门应当及时将移出信息共享至同级信用信息共享平台，相关部门联合惩戒措施按照规定终止。</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第十八条</w:t>
      </w:r>
      <w:r>
        <w:rPr>
          <w:rFonts w:hint="eastAsia"/>
          <w:szCs w:val="32"/>
        </w:rPr>
        <w:t xml:space="preserve">  </w:t>
      </w:r>
      <w:r w:rsidRPr="00A33F49">
        <w:rPr>
          <w:rFonts w:hint="eastAsia"/>
          <w:szCs w:val="32"/>
        </w:rPr>
        <w:t>当事人对列入失信联合惩戒名单决定或者不予提前移出失信联合惩戒名单决定不服的，可以依法申请行政复议或者提起行政诉讼。</w:t>
      </w:r>
    </w:p>
    <w:p w:rsidR="00A33F49" w:rsidRPr="00A33F49" w:rsidRDefault="00A33F49" w:rsidP="00A33F49">
      <w:pPr>
        <w:spacing w:line="460" w:lineRule="exact"/>
        <w:rPr>
          <w:rFonts w:hint="eastAsia"/>
          <w:szCs w:val="32"/>
        </w:rPr>
      </w:pPr>
      <w:r>
        <w:rPr>
          <w:rFonts w:hint="eastAsia"/>
          <w:szCs w:val="32"/>
        </w:rPr>
        <w:t xml:space="preserve">    </w:t>
      </w:r>
      <w:r w:rsidRPr="00A33F49">
        <w:rPr>
          <w:rFonts w:hint="eastAsia"/>
          <w:szCs w:val="32"/>
        </w:rPr>
        <w:t>第十九条</w:t>
      </w:r>
      <w:r>
        <w:rPr>
          <w:rFonts w:hint="eastAsia"/>
          <w:szCs w:val="32"/>
        </w:rPr>
        <w:t xml:space="preserve">  </w:t>
      </w:r>
      <w:r w:rsidRPr="00A33F49">
        <w:rPr>
          <w:rFonts w:hint="eastAsia"/>
          <w:szCs w:val="32"/>
        </w:rPr>
        <w:t>人力资源社会保障行政部门工作人员在实施失信联合惩戒名单管理过程中，滥用职权、玩忽职守、徇私舞弊的，依法依规给予处分；构成犯罪的，依法追究刑事责任。</w:t>
      </w:r>
    </w:p>
    <w:p w:rsidR="008A2D4C" w:rsidRPr="00FA48D9" w:rsidRDefault="00A33F49" w:rsidP="00A33F49">
      <w:pPr>
        <w:spacing w:line="460" w:lineRule="exact"/>
        <w:rPr>
          <w:szCs w:val="32"/>
        </w:rPr>
      </w:pPr>
      <w:r>
        <w:rPr>
          <w:rFonts w:hint="eastAsia"/>
          <w:szCs w:val="32"/>
        </w:rPr>
        <w:t xml:space="preserve">    </w:t>
      </w:r>
      <w:r w:rsidRPr="00A33F49">
        <w:rPr>
          <w:rFonts w:hint="eastAsia"/>
          <w:szCs w:val="32"/>
        </w:rPr>
        <w:t>第二十条</w:t>
      </w:r>
      <w:r>
        <w:rPr>
          <w:rFonts w:hint="eastAsia"/>
          <w:szCs w:val="32"/>
        </w:rPr>
        <w:t xml:space="preserve">  </w:t>
      </w:r>
      <w:r w:rsidRPr="00A33F49">
        <w:rPr>
          <w:rFonts w:hint="eastAsia"/>
          <w:szCs w:val="32"/>
        </w:rPr>
        <w:t>本办法自</w:t>
      </w:r>
      <w:r w:rsidRPr="00A33F49">
        <w:rPr>
          <w:rFonts w:hint="eastAsia"/>
          <w:szCs w:val="32"/>
        </w:rPr>
        <w:t>2022</w:t>
      </w:r>
      <w:r w:rsidRPr="00A33F49">
        <w:rPr>
          <w:rFonts w:hint="eastAsia"/>
          <w:szCs w:val="32"/>
        </w:rPr>
        <w:t>年</w:t>
      </w:r>
      <w:r w:rsidRPr="00A33F49">
        <w:rPr>
          <w:rFonts w:hint="eastAsia"/>
          <w:szCs w:val="32"/>
        </w:rPr>
        <w:t>1</w:t>
      </w:r>
      <w:r w:rsidRPr="00A33F49">
        <w:rPr>
          <w:rFonts w:hint="eastAsia"/>
          <w:szCs w:val="32"/>
        </w:rPr>
        <w:t>月</w:t>
      </w:r>
      <w:r w:rsidRPr="00A33F49">
        <w:rPr>
          <w:rFonts w:hint="eastAsia"/>
          <w:szCs w:val="32"/>
        </w:rPr>
        <w:t>1</w:t>
      </w:r>
      <w:r w:rsidRPr="00A33F49">
        <w:rPr>
          <w:rFonts w:hint="eastAsia"/>
          <w:szCs w:val="32"/>
        </w:rPr>
        <w:t>日起施行。</w:t>
      </w:r>
    </w:p>
    <w:sectPr w:rsidR="008A2D4C" w:rsidRPr="00FA48D9" w:rsidSect="00FA48D9">
      <w:pgSz w:w="11906" w:h="16838" w:code="9"/>
      <w:pgMar w:top="2098" w:right="1588" w:bottom="1758" w:left="1588" w:header="851" w:footer="992" w:gutter="0"/>
      <w:cols w:space="425"/>
      <w:docGrid w:type="linesAndChars" w:linePitch="590"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D75" w:rsidRDefault="00E13D75" w:rsidP="00AD2EDD">
      <w:r>
        <w:separator/>
      </w:r>
    </w:p>
  </w:endnote>
  <w:endnote w:type="continuationSeparator" w:id="0">
    <w:p w:rsidR="00E13D75" w:rsidRDefault="00E13D75" w:rsidP="00AD2E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D75" w:rsidRDefault="00E13D75" w:rsidP="00AD2EDD">
      <w:r>
        <w:separator/>
      </w:r>
    </w:p>
  </w:footnote>
  <w:footnote w:type="continuationSeparator" w:id="0">
    <w:p w:rsidR="00E13D75" w:rsidRDefault="00E13D75" w:rsidP="00AD2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6"/>
  <w:drawingGridVerticalSpacing w:val="295"/>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EDD"/>
    <w:rsid w:val="00161978"/>
    <w:rsid w:val="002C0CE4"/>
    <w:rsid w:val="00557221"/>
    <w:rsid w:val="0076588E"/>
    <w:rsid w:val="00855F7B"/>
    <w:rsid w:val="008A2D4C"/>
    <w:rsid w:val="00A00A81"/>
    <w:rsid w:val="00A33F49"/>
    <w:rsid w:val="00A5067C"/>
    <w:rsid w:val="00AD2EDD"/>
    <w:rsid w:val="00B077A4"/>
    <w:rsid w:val="00CF3882"/>
    <w:rsid w:val="00D13629"/>
    <w:rsid w:val="00D82504"/>
    <w:rsid w:val="00E13D75"/>
    <w:rsid w:val="00FA4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82"/>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EDD"/>
    <w:rPr>
      <w:sz w:val="18"/>
      <w:szCs w:val="18"/>
    </w:rPr>
  </w:style>
  <w:style w:type="paragraph" w:styleId="a4">
    <w:name w:val="footer"/>
    <w:basedOn w:val="a"/>
    <w:link w:val="Char0"/>
    <w:uiPriority w:val="99"/>
    <w:semiHidden/>
    <w:unhideWhenUsed/>
    <w:rsid w:val="00AD2E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2E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396</Words>
  <Characters>2259</Characters>
  <Application>Microsoft Office Word</Application>
  <DocSecurity>0</DocSecurity>
  <Lines>18</Lines>
  <Paragraphs>5</Paragraphs>
  <ScaleCrop>false</ScaleCrop>
  <Company>china</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cp:lastModifiedBy>
  <cp:revision>3</cp:revision>
  <dcterms:created xsi:type="dcterms:W3CDTF">2021-11-25T00:59:00Z</dcterms:created>
  <dcterms:modified xsi:type="dcterms:W3CDTF">2021-11-25T01:00:00Z</dcterms:modified>
</cp:coreProperties>
</file>